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2B" w:rsidRPr="00351E2B" w:rsidRDefault="00DD0CB6" w:rsidP="00DD0CB6">
      <w:pPr>
        <w:jc w:val="center"/>
        <w:rPr>
          <w:rFonts w:ascii="標楷體" w:eastAsia="標楷體" w:hAnsi="標楷體"/>
          <w:b/>
          <w:sz w:val="32"/>
          <w:szCs w:val="36"/>
        </w:rPr>
      </w:pPr>
      <w:r w:rsidRPr="00DD0CB6">
        <w:rPr>
          <w:rFonts w:ascii="標楷體" w:eastAsia="標楷體" w:hAnsi="標楷體" w:hint="eastAsia"/>
          <w:b/>
          <w:sz w:val="32"/>
          <w:szCs w:val="36"/>
        </w:rPr>
        <w:t>本縣大埔鄉西興村曾文溪支流深坑仔溪實施封溪護魚及相關規定事項</w:t>
      </w:r>
    </w:p>
    <w:p w:rsidR="00EE2E92" w:rsidRPr="00920255" w:rsidRDefault="00F23A24" w:rsidP="00920255">
      <w:pPr>
        <w:jc w:val="center"/>
        <w:rPr>
          <w:rFonts w:ascii="標楷體" w:eastAsia="標楷體" w:hAnsi="標楷體"/>
          <w:sz w:val="28"/>
          <w:szCs w:val="28"/>
        </w:rPr>
      </w:pPr>
      <w:r>
        <w:rPr>
          <w:rFonts w:ascii="標楷體" w:eastAsia="標楷體" w:hAnsi="標楷體" w:hint="eastAsia"/>
          <w:sz w:val="28"/>
          <w:szCs w:val="28"/>
        </w:rPr>
        <w:t>公告</w:t>
      </w:r>
      <w:r w:rsidR="00CA10BE">
        <w:rPr>
          <w:rFonts w:ascii="標楷體" w:eastAsia="標楷體" w:hAnsi="標楷體" w:hint="eastAsia"/>
          <w:sz w:val="28"/>
          <w:szCs w:val="28"/>
        </w:rPr>
        <w:t>條文</w:t>
      </w:r>
      <w:bookmarkStart w:id="0" w:name="_GoBack"/>
      <w:bookmarkEnd w:id="0"/>
      <w:r w:rsidR="00A67630">
        <w:rPr>
          <w:rFonts w:ascii="標楷體" w:eastAsia="標楷體" w:hAnsi="標楷體" w:hint="eastAsia"/>
          <w:sz w:val="28"/>
          <w:szCs w:val="28"/>
        </w:rPr>
        <w:t>對照</w:t>
      </w:r>
      <w:r w:rsidR="00920255" w:rsidRPr="00920255">
        <w:rPr>
          <w:rFonts w:ascii="標楷體" w:eastAsia="標楷體" w:hAnsi="標楷體" w:hint="eastAsia"/>
          <w:sz w:val="28"/>
          <w:szCs w:val="28"/>
        </w:rPr>
        <w:t>表</w:t>
      </w:r>
    </w:p>
    <w:tbl>
      <w:tblPr>
        <w:tblStyle w:val="a3"/>
        <w:tblW w:w="0" w:type="auto"/>
        <w:tblLayout w:type="fixed"/>
        <w:tblLook w:val="04A0" w:firstRow="1" w:lastRow="0" w:firstColumn="1" w:lastColumn="0" w:noHBand="0" w:noVBand="1"/>
      </w:tblPr>
      <w:tblGrid>
        <w:gridCol w:w="4673"/>
        <w:gridCol w:w="3544"/>
      </w:tblGrid>
      <w:tr w:rsidR="00DD0CB6" w:rsidRPr="00920255" w:rsidTr="00A67630">
        <w:tc>
          <w:tcPr>
            <w:tcW w:w="4673" w:type="dxa"/>
          </w:tcPr>
          <w:p w:rsidR="00DD0CB6" w:rsidRPr="00920255" w:rsidRDefault="00DD0CB6" w:rsidP="00920255">
            <w:pPr>
              <w:jc w:val="center"/>
              <w:rPr>
                <w:rFonts w:ascii="標楷體" w:eastAsia="標楷體" w:hAnsi="標楷體"/>
              </w:rPr>
            </w:pPr>
            <w:r>
              <w:rPr>
                <w:rFonts w:ascii="標楷體" w:eastAsia="標楷體" w:hAnsi="標楷體" w:hint="eastAsia"/>
              </w:rPr>
              <w:t>現行公告</w:t>
            </w:r>
          </w:p>
        </w:tc>
        <w:tc>
          <w:tcPr>
            <w:tcW w:w="3544" w:type="dxa"/>
          </w:tcPr>
          <w:p w:rsidR="00DD0CB6" w:rsidRPr="00920255" w:rsidRDefault="00DD0CB6" w:rsidP="00920255">
            <w:pPr>
              <w:jc w:val="center"/>
              <w:rPr>
                <w:rFonts w:ascii="標楷體" w:eastAsia="標楷體" w:hAnsi="標楷體"/>
              </w:rPr>
            </w:pPr>
            <w:r w:rsidRPr="00920255">
              <w:rPr>
                <w:rFonts w:ascii="標楷體" w:eastAsia="標楷體" w:hAnsi="標楷體" w:hint="eastAsia"/>
              </w:rPr>
              <w:t>說明</w:t>
            </w:r>
          </w:p>
        </w:tc>
      </w:tr>
      <w:tr w:rsidR="00DD0CB6" w:rsidRPr="00920255" w:rsidTr="00A67630">
        <w:trPr>
          <w:trHeight w:val="1287"/>
        </w:trPr>
        <w:tc>
          <w:tcPr>
            <w:tcW w:w="4673" w:type="dxa"/>
          </w:tcPr>
          <w:p w:rsidR="00DD0CB6" w:rsidRPr="00F23A24" w:rsidRDefault="00DD0CB6" w:rsidP="00A67630">
            <w:pPr>
              <w:ind w:left="737" w:hangingChars="307" w:hanging="737"/>
              <w:rPr>
                <w:rFonts w:ascii="標楷體" w:eastAsia="標楷體" w:hAnsi="標楷體"/>
              </w:rPr>
            </w:pPr>
            <w:r w:rsidRPr="00F23A24">
              <w:rPr>
                <w:rFonts w:ascii="標楷體" w:eastAsia="標楷體" w:hAnsi="標楷體" w:hint="eastAsia"/>
              </w:rPr>
              <w:t>主旨：公告「</w:t>
            </w:r>
            <w:r w:rsidRPr="00DD0CB6">
              <w:rPr>
                <w:rFonts w:ascii="標楷體" w:eastAsia="標楷體" w:hAnsi="標楷體" w:hint="eastAsia"/>
              </w:rPr>
              <w:t>本縣大埔鄉西興村曾文溪支流深坑仔溪實施封溪護魚及相關規定事項</w:t>
            </w:r>
            <w:r>
              <w:rPr>
                <w:rFonts w:ascii="標楷體" w:eastAsia="標楷體" w:hAnsi="標楷體" w:hint="eastAsia"/>
              </w:rPr>
              <w:t>」</w:t>
            </w:r>
          </w:p>
        </w:tc>
        <w:tc>
          <w:tcPr>
            <w:tcW w:w="3544" w:type="dxa"/>
          </w:tcPr>
          <w:p w:rsidR="00DD0CB6" w:rsidRPr="00920255" w:rsidRDefault="00A67630" w:rsidP="00920255">
            <w:pPr>
              <w:rPr>
                <w:rFonts w:ascii="標楷體" w:eastAsia="標楷體" w:hAnsi="標楷體"/>
              </w:rPr>
            </w:pPr>
            <w:r w:rsidRPr="00A67630">
              <w:rPr>
                <w:rFonts w:ascii="標楷體" w:eastAsia="標楷體" w:hAnsi="標楷體" w:hint="eastAsia"/>
              </w:rPr>
              <w:t>為維護本縣河川生態資源，遏止過度漁撈行為，擬預告訂定本縣大埔鄉西興村曾文溪支流深坑仔溪為封溪護魚河段</w:t>
            </w:r>
            <w:r>
              <w:rPr>
                <w:rFonts w:ascii="標楷體" w:eastAsia="標楷體" w:hAnsi="標楷體" w:hint="eastAsia"/>
              </w:rPr>
              <w:t>。</w:t>
            </w:r>
          </w:p>
        </w:tc>
      </w:tr>
      <w:tr w:rsidR="00DD0CB6" w:rsidRPr="00920255" w:rsidTr="00A67630">
        <w:trPr>
          <w:trHeight w:val="1264"/>
        </w:trPr>
        <w:tc>
          <w:tcPr>
            <w:tcW w:w="4673" w:type="dxa"/>
          </w:tcPr>
          <w:p w:rsidR="00DD0CB6" w:rsidRPr="00053D50" w:rsidRDefault="00DD0CB6" w:rsidP="00053D50">
            <w:pPr>
              <w:rPr>
                <w:rFonts w:ascii="標楷體" w:eastAsia="標楷體" w:hAnsi="標楷體"/>
              </w:rPr>
            </w:pPr>
            <w:r w:rsidRPr="00053D50">
              <w:rPr>
                <w:rFonts w:ascii="標楷體" w:eastAsia="標楷體" w:hAnsi="標楷體" w:hint="eastAsia"/>
              </w:rPr>
              <w:t>依據：</w:t>
            </w:r>
            <w:r w:rsidRPr="00DD0CB6">
              <w:rPr>
                <w:rFonts w:ascii="標楷體" w:eastAsia="標楷體" w:hAnsi="標楷體" w:hint="eastAsia"/>
              </w:rPr>
              <w:t>漁業法第四十四條第一項第四款。</w:t>
            </w:r>
            <w:r w:rsidRPr="00053D50">
              <w:rPr>
                <w:rFonts w:ascii="標楷體" w:eastAsia="標楷體" w:hAnsi="標楷體"/>
              </w:rPr>
              <w:tab/>
            </w:r>
          </w:p>
          <w:p w:rsidR="00DD0CB6" w:rsidRPr="00DB0DD2" w:rsidRDefault="00DD0CB6" w:rsidP="001959A3">
            <w:pPr>
              <w:tabs>
                <w:tab w:val="left" w:pos="1890"/>
              </w:tabs>
              <w:rPr>
                <w:rFonts w:ascii="標楷體" w:eastAsia="標楷體" w:hAnsi="標楷體"/>
              </w:rPr>
            </w:pPr>
          </w:p>
        </w:tc>
        <w:tc>
          <w:tcPr>
            <w:tcW w:w="3544" w:type="dxa"/>
          </w:tcPr>
          <w:p w:rsidR="00DD0CB6" w:rsidRDefault="00A67630" w:rsidP="002C4D92">
            <w:pPr>
              <w:rPr>
                <w:rFonts w:ascii="標楷體" w:eastAsia="標楷體" w:hAnsi="標楷體"/>
                <w:szCs w:val="24"/>
              </w:rPr>
            </w:pPr>
            <w:r>
              <w:rPr>
                <w:rFonts w:ascii="標楷體" w:eastAsia="標楷體" w:hAnsi="標楷體" w:hint="eastAsia"/>
                <w:szCs w:val="24"/>
              </w:rPr>
              <w:t>公告依據。</w:t>
            </w:r>
          </w:p>
        </w:tc>
      </w:tr>
      <w:tr w:rsidR="00DD0CB6" w:rsidRPr="00920255" w:rsidTr="00A67630">
        <w:trPr>
          <w:trHeight w:val="1267"/>
        </w:trPr>
        <w:tc>
          <w:tcPr>
            <w:tcW w:w="4673" w:type="dxa"/>
          </w:tcPr>
          <w:p w:rsidR="00DD0CB6" w:rsidRDefault="00DD0CB6" w:rsidP="00053D50">
            <w:pPr>
              <w:pStyle w:val="a4"/>
              <w:numPr>
                <w:ilvl w:val="0"/>
                <w:numId w:val="10"/>
              </w:numPr>
              <w:ind w:leftChars="0"/>
              <w:rPr>
                <w:rFonts w:ascii="標楷體" w:eastAsia="標楷體" w:hAnsi="標楷體"/>
              </w:rPr>
            </w:pPr>
            <w:r>
              <w:rPr>
                <w:rFonts w:ascii="標楷體" w:eastAsia="標楷體" w:hAnsi="標楷體" w:hint="eastAsia"/>
              </w:rPr>
              <w:t>禁漁</w:t>
            </w:r>
            <w:r w:rsidRPr="00A84C4A">
              <w:rPr>
                <w:rFonts w:ascii="標楷體" w:eastAsia="標楷體" w:hAnsi="標楷體" w:hint="eastAsia"/>
              </w:rPr>
              <w:t>範圍：</w:t>
            </w:r>
          </w:p>
          <w:p w:rsidR="00DD0CB6" w:rsidRPr="00AB172A" w:rsidRDefault="00DD0CB6" w:rsidP="00AB172A">
            <w:pPr>
              <w:pStyle w:val="a4"/>
              <w:rPr>
                <w:rFonts w:ascii="標楷體" w:eastAsia="標楷體" w:hAnsi="標楷體"/>
              </w:rPr>
            </w:pPr>
            <w:r w:rsidRPr="00DD0CB6">
              <w:rPr>
                <w:rFonts w:ascii="標楷體" w:eastAsia="標楷體" w:hAnsi="標楷體" w:hint="eastAsia"/>
              </w:rPr>
              <w:t>大埔鄉曾文溪支流自深坑仔溪水源頭起至曾文溪入溪口(如附圖)。</w:t>
            </w:r>
          </w:p>
        </w:tc>
        <w:tc>
          <w:tcPr>
            <w:tcW w:w="3544" w:type="dxa"/>
          </w:tcPr>
          <w:p w:rsidR="00DD0CB6" w:rsidRPr="00A67630" w:rsidRDefault="00A67630" w:rsidP="00A67630">
            <w:pPr>
              <w:rPr>
                <w:rFonts w:ascii="標楷體" w:eastAsia="標楷體" w:hAnsi="標楷體"/>
                <w:szCs w:val="24"/>
              </w:rPr>
            </w:pPr>
            <w:r>
              <w:rPr>
                <w:rFonts w:ascii="標楷體" w:eastAsia="標楷體" w:hAnsi="標楷體" w:hint="eastAsia"/>
                <w:szCs w:val="24"/>
              </w:rPr>
              <w:t>明定</w:t>
            </w:r>
            <w:r>
              <w:rPr>
                <w:rFonts w:ascii="標楷體" w:eastAsia="標楷體" w:hAnsi="標楷體" w:hint="eastAsia"/>
              </w:rPr>
              <w:t>禁漁</w:t>
            </w:r>
            <w:r w:rsidRPr="00A84C4A">
              <w:rPr>
                <w:rFonts w:ascii="標楷體" w:eastAsia="標楷體" w:hAnsi="標楷體" w:hint="eastAsia"/>
              </w:rPr>
              <w:t>範圍</w:t>
            </w:r>
            <w:r>
              <w:rPr>
                <w:rFonts w:ascii="標楷體" w:eastAsia="標楷體" w:hAnsi="標楷體" w:hint="eastAsia"/>
              </w:rPr>
              <w:t>。</w:t>
            </w:r>
          </w:p>
        </w:tc>
      </w:tr>
      <w:tr w:rsidR="00DD0CB6" w:rsidRPr="00920255" w:rsidTr="00A67630">
        <w:trPr>
          <w:trHeight w:val="562"/>
        </w:trPr>
        <w:tc>
          <w:tcPr>
            <w:tcW w:w="4673" w:type="dxa"/>
          </w:tcPr>
          <w:p w:rsidR="00DD0CB6" w:rsidRPr="00DD0CB6" w:rsidRDefault="00DD0CB6" w:rsidP="00DD0CB6">
            <w:pPr>
              <w:pStyle w:val="a4"/>
              <w:numPr>
                <w:ilvl w:val="0"/>
                <w:numId w:val="10"/>
              </w:numPr>
              <w:ind w:leftChars="0"/>
              <w:rPr>
                <w:rFonts w:ascii="標楷體" w:eastAsia="標楷體" w:hAnsi="標楷體"/>
              </w:rPr>
            </w:pPr>
            <w:r w:rsidRPr="00DD0CB6">
              <w:rPr>
                <w:rFonts w:ascii="標楷體" w:eastAsia="標楷體" w:hAnsi="標楷體" w:hint="eastAsia"/>
              </w:rPr>
              <w:t>禁漁期間：自公告之日起實施。</w:t>
            </w:r>
          </w:p>
        </w:tc>
        <w:tc>
          <w:tcPr>
            <w:tcW w:w="3544" w:type="dxa"/>
          </w:tcPr>
          <w:p w:rsidR="00DD0CB6" w:rsidRDefault="00A67630" w:rsidP="002C4D92">
            <w:pPr>
              <w:rPr>
                <w:rFonts w:ascii="標楷體" w:eastAsia="標楷體" w:hAnsi="標楷體"/>
                <w:szCs w:val="24"/>
              </w:rPr>
            </w:pPr>
            <w:r>
              <w:rPr>
                <w:rFonts w:ascii="標楷體" w:eastAsia="標楷體" w:hAnsi="標楷體" w:hint="eastAsia"/>
                <w:szCs w:val="24"/>
              </w:rPr>
              <w:t>明定</w:t>
            </w:r>
            <w:r w:rsidRPr="00DD0CB6">
              <w:rPr>
                <w:rFonts w:ascii="標楷體" w:eastAsia="標楷體" w:hAnsi="標楷體" w:hint="eastAsia"/>
              </w:rPr>
              <w:t>禁漁期間</w:t>
            </w:r>
            <w:r>
              <w:rPr>
                <w:rFonts w:ascii="標楷體" w:eastAsia="標楷體" w:hAnsi="標楷體" w:hint="eastAsia"/>
              </w:rPr>
              <w:t>。</w:t>
            </w:r>
          </w:p>
        </w:tc>
      </w:tr>
      <w:tr w:rsidR="00DD0CB6" w:rsidRPr="00920255" w:rsidTr="00A67630">
        <w:trPr>
          <w:trHeight w:val="1265"/>
        </w:trPr>
        <w:tc>
          <w:tcPr>
            <w:tcW w:w="4673" w:type="dxa"/>
          </w:tcPr>
          <w:p w:rsidR="00DD0CB6" w:rsidRPr="00DD0CB6" w:rsidRDefault="00DD0CB6" w:rsidP="00DD0CB6">
            <w:pPr>
              <w:pStyle w:val="a4"/>
              <w:numPr>
                <w:ilvl w:val="0"/>
                <w:numId w:val="15"/>
              </w:numPr>
              <w:ind w:leftChars="0"/>
              <w:rPr>
                <w:rFonts w:ascii="標楷體" w:eastAsia="標楷體" w:hAnsi="標楷體"/>
              </w:rPr>
            </w:pPr>
            <w:r w:rsidRPr="00A84C4A">
              <w:rPr>
                <w:rFonts w:ascii="標楷體" w:eastAsia="標楷體" w:hAnsi="標楷體" w:hint="eastAsia"/>
              </w:rPr>
              <w:t>禁止事項：</w:t>
            </w:r>
            <w:r w:rsidRPr="00DD0CB6">
              <w:rPr>
                <w:rFonts w:ascii="標楷體" w:eastAsia="標楷體" w:hAnsi="標楷體" w:hint="eastAsia"/>
              </w:rPr>
              <w:t>禁漁期間嚴禁以任何方式（含垂釣、捕撈及徒手捕抓等）採捕水產動物。</w:t>
            </w:r>
          </w:p>
        </w:tc>
        <w:tc>
          <w:tcPr>
            <w:tcW w:w="3544" w:type="dxa"/>
          </w:tcPr>
          <w:p w:rsidR="00DD0CB6" w:rsidRPr="00920255" w:rsidRDefault="00A67630" w:rsidP="00351E2B">
            <w:pPr>
              <w:rPr>
                <w:rFonts w:ascii="標楷體" w:eastAsia="標楷體" w:hAnsi="標楷體"/>
              </w:rPr>
            </w:pPr>
            <w:r>
              <w:rPr>
                <w:rFonts w:ascii="標楷體" w:eastAsia="標楷體" w:hAnsi="標楷體" w:hint="eastAsia"/>
                <w:szCs w:val="24"/>
              </w:rPr>
              <w:t>明定</w:t>
            </w:r>
            <w:r w:rsidRPr="00A84C4A">
              <w:rPr>
                <w:rFonts w:ascii="標楷體" w:eastAsia="標楷體" w:hAnsi="標楷體" w:hint="eastAsia"/>
              </w:rPr>
              <w:t>禁止事項</w:t>
            </w:r>
            <w:r>
              <w:rPr>
                <w:rFonts w:ascii="標楷體" w:eastAsia="標楷體" w:hAnsi="標楷體" w:hint="eastAsia"/>
              </w:rPr>
              <w:t>。</w:t>
            </w:r>
          </w:p>
        </w:tc>
      </w:tr>
      <w:tr w:rsidR="00DD0CB6" w:rsidRPr="00920255" w:rsidTr="00A67630">
        <w:trPr>
          <w:trHeight w:val="1410"/>
        </w:trPr>
        <w:tc>
          <w:tcPr>
            <w:tcW w:w="4673" w:type="dxa"/>
          </w:tcPr>
          <w:p w:rsidR="00DD0CB6" w:rsidRPr="00A84C4A" w:rsidRDefault="00DD0CB6" w:rsidP="00351E2B">
            <w:pPr>
              <w:pStyle w:val="a4"/>
              <w:numPr>
                <w:ilvl w:val="0"/>
                <w:numId w:val="15"/>
              </w:numPr>
              <w:ind w:leftChars="0"/>
              <w:rPr>
                <w:rFonts w:ascii="標楷體" w:eastAsia="標楷體" w:hAnsi="標楷體"/>
              </w:rPr>
            </w:pPr>
            <w:r>
              <w:rPr>
                <w:rFonts w:ascii="標楷體" w:eastAsia="標楷體" w:hAnsi="標楷體" w:hint="eastAsia"/>
              </w:rPr>
              <w:t>罰則：</w:t>
            </w:r>
            <w:r w:rsidRPr="00DD0CB6">
              <w:rPr>
                <w:rFonts w:ascii="標楷體" w:eastAsia="標楷體" w:hAnsi="標楷體" w:hint="eastAsia"/>
              </w:rPr>
              <w:t>違反本公告禁止事項者，依漁業法第六十五條第五款規定，處新</w:t>
            </w:r>
            <w:r w:rsidR="000C6214">
              <w:rPr>
                <w:rFonts w:ascii="標楷體" w:eastAsia="標楷體" w:hAnsi="標楷體" w:hint="eastAsia"/>
              </w:rPr>
              <w:t>臺</w:t>
            </w:r>
            <w:r w:rsidRPr="00DD0CB6">
              <w:rPr>
                <w:rFonts w:ascii="標楷體" w:eastAsia="標楷體" w:hAnsi="標楷體" w:hint="eastAsia"/>
              </w:rPr>
              <w:t>幣三萬元以上十五萬元以下罰鍰。</w:t>
            </w:r>
          </w:p>
        </w:tc>
        <w:tc>
          <w:tcPr>
            <w:tcW w:w="3544" w:type="dxa"/>
          </w:tcPr>
          <w:p w:rsidR="00DD0CB6" w:rsidRPr="00053D50" w:rsidRDefault="00A67630" w:rsidP="00DD0CB6">
            <w:pPr>
              <w:rPr>
                <w:rFonts w:ascii="標楷體" w:eastAsia="標楷體" w:hAnsi="標楷體"/>
              </w:rPr>
            </w:pPr>
            <w:r>
              <w:rPr>
                <w:rFonts w:ascii="標楷體" w:eastAsia="標楷體" w:hAnsi="標楷體" w:hint="eastAsia"/>
                <w:szCs w:val="24"/>
              </w:rPr>
              <w:t>明定罰則。</w:t>
            </w:r>
          </w:p>
        </w:tc>
      </w:tr>
      <w:tr w:rsidR="00DD0CB6" w:rsidRPr="00920255" w:rsidTr="00A67630">
        <w:trPr>
          <w:trHeight w:val="836"/>
        </w:trPr>
        <w:tc>
          <w:tcPr>
            <w:tcW w:w="4673" w:type="dxa"/>
          </w:tcPr>
          <w:p w:rsidR="00DD0CB6" w:rsidRPr="00DD0CB6" w:rsidRDefault="00DD0CB6" w:rsidP="00DD0CB6">
            <w:pPr>
              <w:pStyle w:val="a4"/>
              <w:numPr>
                <w:ilvl w:val="0"/>
                <w:numId w:val="15"/>
              </w:numPr>
              <w:ind w:leftChars="0"/>
              <w:rPr>
                <w:rFonts w:ascii="標楷體" w:eastAsia="標楷體" w:hAnsi="標楷體"/>
              </w:rPr>
            </w:pPr>
            <w:r w:rsidRPr="00DD0CB6">
              <w:rPr>
                <w:rFonts w:ascii="標楷體" w:eastAsia="標楷體" w:hAnsi="標楷體" w:hint="eastAsia"/>
              </w:rPr>
              <w:t>基於學術研究、教育或防洪等目的，經主管機關許可者，不在此限。</w:t>
            </w:r>
          </w:p>
        </w:tc>
        <w:tc>
          <w:tcPr>
            <w:tcW w:w="3544" w:type="dxa"/>
          </w:tcPr>
          <w:p w:rsidR="00DD0CB6" w:rsidRPr="00053D50" w:rsidRDefault="00A67630" w:rsidP="00DD0CB6">
            <w:pPr>
              <w:rPr>
                <w:rFonts w:ascii="標楷體" w:eastAsia="標楷體" w:hAnsi="標楷體"/>
              </w:rPr>
            </w:pPr>
            <w:r>
              <w:rPr>
                <w:rFonts w:ascii="標楷體" w:eastAsia="標楷體" w:hAnsi="標楷體" w:hint="eastAsia"/>
              </w:rPr>
              <w:t>補充說明。</w:t>
            </w:r>
          </w:p>
        </w:tc>
      </w:tr>
    </w:tbl>
    <w:p w:rsidR="00AB172A" w:rsidRDefault="00AB172A" w:rsidP="00BD3CDF"/>
    <w:p w:rsidR="00AB172A" w:rsidRDefault="00AB172A" w:rsidP="00AB172A"/>
    <w:p w:rsidR="00AB172A" w:rsidRDefault="00AB172A" w:rsidP="00AB172A"/>
    <w:p w:rsidR="00920255" w:rsidRPr="00AB172A" w:rsidRDefault="00AB172A" w:rsidP="00AB172A">
      <w:pPr>
        <w:tabs>
          <w:tab w:val="left" w:pos="3382"/>
        </w:tabs>
      </w:pPr>
      <w:r>
        <w:tab/>
      </w:r>
    </w:p>
    <w:sectPr w:rsidR="00920255" w:rsidRPr="00AB17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3A" w:rsidRDefault="00E2623A" w:rsidP="00F23A24">
      <w:r>
        <w:separator/>
      </w:r>
    </w:p>
  </w:endnote>
  <w:endnote w:type="continuationSeparator" w:id="0">
    <w:p w:rsidR="00E2623A" w:rsidRDefault="00E2623A" w:rsidP="00F2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3A" w:rsidRDefault="00E2623A" w:rsidP="00F23A24">
      <w:r>
        <w:separator/>
      </w:r>
    </w:p>
  </w:footnote>
  <w:footnote w:type="continuationSeparator" w:id="0">
    <w:p w:rsidR="00E2623A" w:rsidRDefault="00E2623A" w:rsidP="00F23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F80"/>
    <w:multiLevelType w:val="hybridMultilevel"/>
    <w:tmpl w:val="50F431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CA62D9"/>
    <w:multiLevelType w:val="hybridMultilevel"/>
    <w:tmpl w:val="0D04A3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287D37"/>
    <w:multiLevelType w:val="hybridMultilevel"/>
    <w:tmpl w:val="07605E72"/>
    <w:lvl w:ilvl="0" w:tplc="6D666FFC">
      <w:start w:val="3"/>
      <w:numFmt w:val="decimalZero"/>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956AB1"/>
    <w:multiLevelType w:val="hybridMultilevel"/>
    <w:tmpl w:val="583EC1E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2807E1"/>
    <w:multiLevelType w:val="hybridMultilevel"/>
    <w:tmpl w:val="DA7ECCC4"/>
    <w:lvl w:ilvl="0" w:tplc="5EE00F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F1222D"/>
    <w:multiLevelType w:val="hybridMultilevel"/>
    <w:tmpl w:val="223232C4"/>
    <w:lvl w:ilvl="0" w:tplc="F616425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9A7272"/>
    <w:multiLevelType w:val="hybridMultilevel"/>
    <w:tmpl w:val="8E0614A0"/>
    <w:lvl w:ilvl="0" w:tplc="D3DE8C08">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02708A"/>
    <w:multiLevelType w:val="hybridMultilevel"/>
    <w:tmpl w:val="543844A0"/>
    <w:lvl w:ilvl="0" w:tplc="14F4322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E07F0D"/>
    <w:multiLevelType w:val="hybridMultilevel"/>
    <w:tmpl w:val="37620D76"/>
    <w:lvl w:ilvl="0" w:tplc="5F06E768">
      <w:start w:val="1"/>
      <w:numFmt w:val="decimalZero"/>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3834E4"/>
    <w:multiLevelType w:val="hybridMultilevel"/>
    <w:tmpl w:val="8D14BD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9D68BA"/>
    <w:multiLevelType w:val="hybridMultilevel"/>
    <w:tmpl w:val="0492CAF0"/>
    <w:lvl w:ilvl="0" w:tplc="BDBE973E">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1A1595"/>
    <w:multiLevelType w:val="hybridMultilevel"/>
    <w:tmpl w:val="F8708094"/>
    <w:lvl w:ilvl="0" w:tplc="5EE00F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80A5E"/>
    <w:multiLevelType w:val="hybridMultilevel"/>
    <w:tmpl w:val="E0ACC2C0"/>
    <w:lvl w:ilvl="0" w:tplc="422021AA">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4E671A"/>
    <w:multiLevelType w:val="hybridMultilevel"/>
    <w:tmpl w:val="8D14BD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305D16"/>
    <w:multiLevelType w:val="hybridMultilevel"/>
    <w:tmpl w:val="0492CAF0"/>
    <w:lvl w:ilvl="0" w:tplc="BDBE973E">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D6085D"/>
    <w:multiLevelType w:val="hybridMultilevel"/>
    <w:tmpl w:val="BADAF38C"/>
    <w:lvl w:ilvl="0" w:tplc="A56CA0C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3"/>
  </w:num>
  <w:num w:numId="4">
    <w:abstractNumId w:val="7"/>
  </w:num>
  <w:num w:numId="5">
    <w:abstractNumId w:val="6"/>
  </w:num>
  <w:num w:numId="6">
    <w:abstractNumId w:val="12"/>
  </w:num>
  <w:num w:numId="7">
    <w:abstractNumId w:val="4"/>
  </w:num>
  <w:num w:numId="8">
    <w:abstractNumId w:val="0"/>
  </w:num>
  <w:num w:numId="9">
    <w:abstractNumId w:val="9"/>
  </w:num>
  <w:num w:numId="10">
    <w:abstractNumId w:val="1"/>
  </w:num>
  <w:num w:numId="11">
    <w:abstractNumId w:val="5"/>
  </w:num>
  <w:num w:numId="12">
    <w:abstractNumId w:val="8"/>
  </w:num>
  <w:num w:numId="13">
    <w:abstractNumId w:val="2"/>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55"/>
    <w:rsid w:val="0001367C"/>
    <w:rsid w:val="00053D50"/>
    <w:rsid w:val="000C6214"/>
    <w:rsid w:val="000F549D"/>
    <w:rsid w:val="00170432"/>
    <w:rsid w:val="001840EE"/>
    <w:rsid w:val="001959A3"/>
    <w:rsid w:val="001E356B"/>
    <w:rsid w:val="002C4D92"/>
    <w:rsid w:val="002D3ED5"/>
    <w:rsid w:val="00351E2B"/>
    <w:rsid w:val="003F0763"/>
    <w:rsid w:val="00415B15"/>
    <w:rsid w:val="00447013"/>
    <w:rsid w:val="004D53DF"/>
    <w:rsid w:val="0053160F"/>
    <w:rsid w:val="005A0FE2"/>
    <w:rsid w:val="005C5F95"/>
    <w:rsid w:val="006C7FB1"/>
    <w:rsid w:val="006E0026"/>
    <w:rsid w:val="00723FEA"/>
    <w:rsid w:val="007B3771"/>
    <w:rsid w:val="007D08C4"/>
    <w:rsid w:val="007E6606"/>
    <w:rsid w:val="00864B50"/>
    <w:rsid w:val="00920255"/>
    <w:rsid w:val="00995300"/>
    <w:rsid w:val="00A67630"/>
    <w:rsid w:val="00A70656"/>
    <w:rsid w:val="00A84C4A"/>
    <w:rsid w:val="00A958CD"/>
    <w:rsid w:val="00AB172A"/>
    <w:rsid w:val="00AF5CEA"/>
    <w:rsid w:val="00B159EE"/>
    <w:rsid w:val="00B3707E"/>
    <w:rsid w:val="00BC7769"/>
    <w:rsid w:val="00BD3CDF"/>
    <w:rsid w:val="00C04287"/>
    <w:rsid w:val="00C70697"/>
    <w:rsid w:val="00CA10BE"/>
    <w:rsid w:val="00CB25B5"/>
    <w:rsid w:val="00D63DD4"/>
    <w:rsid w:val="00D8256B"/>
    <w:rsid w:val="00DB0DD2"/>
    <w:rsid w:val="00DD0CB6"/>
    <w:rsid w:val="00DF1119"/>
    <w:rsid w:val="00E01B5B"/>
    <w:rsid w:val="00E2623A"/>
    <w:rsid w:val="00EE2E92"/>
    <w:rsid w:val="00F23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81732-2DCF-47F9-BA2E-5BF2A05E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255"/>
    <w:pPr>
      <w:ind w:leftChars="200" w:left="480"/>
    </w:pPr>
  </w:style>
  <w:style w:type="paragraph" w:styleId="a5">
    <w:name w:val="header"/>
    <w:basedOn w:val="a"/>
    <w:link w:val="a6"/>
    <w:uiPriority w:val="99"/>
    <w:unhideWhenUsed/>
    <w:rsid w:val="00F23A24"/>
    <w:pPr>
      <w:tabs>
        <w:tab w:val="center" w:pos="4153"/>
        <w:tab w:val="right" w:pos="8306"/>
      </w:tabs>
      <w:snapToGrid w:val="0"/>
    </w:pPr>
    <w:rPr>
      <w:sz w:val="20"/>
      <w:szCs w:val="20"/>
    </w:rPr>
  </w:style>
  <w:style w:type="character" w:customStyle="1" w:styleId="a6">
    <w:name w:val="頁首 字元"/>
    <w:basedOn w:val="a0"/>
    <w:link w:val="a5"/>
    <w:uiPriority w:val="99"/>
    <w:rsid w:val="00F23A24"/>
    <w:rPr>
      <w:sz w:val="20"/>
      <w:szCs w:val="20"/>
    </w:rPr>
  </w:style>
  <w:style w:type="paragraph" w:styleId="a7">
    <w:name w:val="footer"/>
    <w:basedOn w:val="a"/>
    <w:link w:val="a8"/>
    <w:uiPriority w:val="99"/>
    <w:unhideWhenUsed/>
    <w:rsid w:val="00F23A24"/>
    <w:pPr>
      <w:tabs>
        <w:tab w:val="center" w:pos="4153"/>
        <w:tab w:val="right" w:pos="8306"/>
      </w:tabs>
      <w:snapToGrid w:val="0"/>
    </w:pPr>
    <w:rPr>
      <w:sz w:val="20"/>
      <w:szCs w:val="20"/>
    </w:rPr>
  </w:style>
  <w:style w:type="character" w:customStyle="1" w:styleId="a8">
    <w:name w:val="頁尾 字元"/>
    <w:basedOn w:val="a0"/>
    <w:link w:val="a7"/>
    <w:uiPriority w:val="99"/>
    <w:rsid w:val="00F23A24"/>
    <w:rPr>
      <w:sz w:val="20"/>
      <w:szCs w:val="20"/>
    </w:rPr>
  </w:style>
  <w:style w:type="paragraph" w:styleId="a9">
    <w:name w:val="Balloon Text"/>
    <w:basedOn w:val="a"/>
    <w:link w:val="aa"/>
    <w:uiPriority w:val="99"/>
    <w:semiHidden/>
    <w:unhideWhenUsed/>
    <w:rsid w:val="00CB25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2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林界廷</dc:creator>
  <cp:keywords/>
  <dc:description/>
  <cp:lastModifiedBy>李詩涵</cp:lastModifiedBy>
  <cp:revision>8</cp:revision>
  <cp:lastPrinted>2021-05-07T02:30:00Z</cp:lastPrinted>
  <dcterms:created xsi:type="dcterms:W3CDTF">2021-05-07T02:25:00Z</dcterms:created>
  <dcterms:modified xsi:type="dcterms:W3CDTF">2021-08-06T01:18:00Z</dcterms:modified>
</cp:coreProperties>
</file>