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2C885" w14:textId="77777777" w:rsidR="000501B3" w:rsidRPr="00DD7260" w:rsidRDefault="000501B3">
      <w:pPr>
        <w:pStyle w:val="-1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7C137BD7" w14:textId="77777777" w:rsidR="00B169C9" w:rsidRPr="00DD7260" w:rsidRDefault="00B169C9" w:rsidP="00B169C9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DD7260">
        <w:rPr>
          <w:rFonts w:ascii="標楷體" w:eastAsia="標楷體" w:hAnsi="標楷體" w:hint="eastAsia"/>
          <w:b/>
          <w:bCs/>
          <w:sz w:val="32"/>
          <w:szCs w:val="32"/>
        </w:rPr>
        <w:t>嘉義縣新港鄉各項殯葬設施使用規費收費標準</w:t>
      </w:r>
    </w:p>
    <w:p w14:paraId="1282EC1B" w14:textId="77777777" w:rsidR="000C082C" w:rsidRPr="00DD7260" w:rsidRDefault="00995EDA" w:rsidP="006B4C39">
      <w:pPr>
        <w:pStyle w:val="-10"/>
        <w:rPr>
          <w:rFonts w:ascii="標楷體" w:hAnsi="標楷體"/>
          <w:b/>
          <w:bCs/>
          <w:sz w:val="32"/>
          <w:szCs w:val="32"/>
        </w:rPr>
      </w:pPr>
      <w:r w:rsidRPr="00DD7260">
        <w:rPr>
          <w:rFonts w:ascii="標楷體" w:hAnsi="標楷體"/>
          <w:b/>
          <w:bCs/>
          <w:sz w:val="32"/>
          <w:szCs w:val="32"/>
        </w:rPr>
        <w:t>修正第二條、第五條、第九條及</w:t>
      </w:r>
      <w:r w:rsidRPr="00DD7260">
        <w:rPr>
          <w:rFonts w:ascii="標楷體" w:hAnsi="標楷體" w:hint="eastAsia"/>
          <w:b/>
          <w:bCs/>
          <w:sz w:val="32"/>
          <w:szCs w:val="32"/>
        </w:rPr>
        <w:t>增</w:t>
      </w:r>
      <w:r w:rsidR="009A57FB" w:rsidRPr="00DD7260">
        <w:rPr>
          <w:rFonts w:ascii="標楷體" w:hAnsi="標楷體" w:hint="eastAsia"/>
          <w:b/>
          <w:bCs/>
          <w:sz w:val="32"/>
          <w:szCs w:val="32"/>
        </w:rPr>
        <w:t>訂</w:t>
      </w:r>
      <w:r w:rsidRPr="00DD7260">
        <w:rPr>
          <w:rFonts w:ascii="標楷體" w:hAnsi="標楷體"/>
          <w:b/>
          <w:bCs/>
          <w:sz w:val="32"/>
          <w:szCs w:val="32"/>
        </w:rPr>
        <w:t>第五條之一</w:t>
      </w:r>
      <w:r w:rsidR="00635E42" w:rsidRPr="00DD7260">
        <w:rPr>
          <w:rFonts w:ascii="標楷體" w:hAnsi="標楷體" w:hint="eastAsia"/>
          <w:b/>
          <w:bCs/>
          <w:sz w:val="32"/>
          <w:szCs w:val="32"/>
        </w:rPr>
        <w:t>條</w:t>
      </w:r>
      <w:r w:rsidR="00635E42" w:rsidRPr="00DD7260">
        <w:rPr>
          <w:rFonts w:ascii="標楷體" w:hAnsi="標楷體"/>
          <w:b/>
          <w:bCs/>
          <w:sz w:val="32"/>
          <w:szCs w:val="32"/>
        </w:rPr>
        <w:t>文</w:t>
      </w:r>
      <w:r w:rsidR="000C082C" w:rsidRPr="00DD7260">
        <w:rPr>
          <w:rFonts w:ascii="標楷體" w:hAnsi="標楷體" w:hint="eastAsia"/>
          <w:b/>
          <w:bCs/>
          <w:sz w:val="32"/>
          <w:szCs w:val="32"/>
        </w:rPr>
        <w:t>總說明</w:t>
      </w:r>
    </w:p>
    <w:p w14:paraId="43A88B2B" w14:textId="77777777" w:rsidR="000C082C" w:rsidRPr="00DD7260" w:rsidRDefault="007D59AE" w:rsidP="00A722B6">
      <w:pPr>
        <w:jc w:val="both"/>
        <w:rPr>
          <w:rFonts w:ascii="標楷體" w:eastAsia="標楷體" w:hAnsi="標楷體"/>
          <w:b/>
          <w:bCs/>
          <w:snapToGrid w:val="0"/>
          <w:sz w:val="32"/>
          <w:szCs w:val="32"/>
        </w:rPr>
      </w:pPr>
      <w:r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現行</w:t>
      </w:r>
      <w:r w:rsidR="00B169C9" w:rsidRPr="00DD7260">
        <w:rPr>
          <w:rFonts w:ascii="標楷體" w:eastAsia="標楷體" w:hAnsi="標楷體" w:hint="eastAsia"/>
          <w:b/>
          <w:bCs/>
          <w:sz w:val="32"/>
          <w:szCs w:val="32"/>
        </w:rPr>
        <w:t>嘉義縣新港鄉各項殯葬設施使用規費收費標準</w:t>
      </w:r>
      <w:r w:rsidR="00B23631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（以下簡稱本</w:t>
      </w:r>
      <w:r w:rsidR="00B169C9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收費標準</w:t>
      </w:r>
      <w:r w:rsidR="00B23631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）</w:t>
      </w:r>
      <w:r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係依據</w:t>
      </w:r>
      <w:r w:rsidR="00B169C9" w:rsidRPr="00DD7260">
        <w:rPr>
          <w:rFonts w:ascii="標楷體" w:eastAsia="標楷體" w:hAnsi="標楷體" w:hint="eastAsia"/>
          <w:b/>
          <w:bCs/>
          <w:sz w:val="32"/>
          <w:szCs w:val="32"/>
        </w:rPr>
        <w:t>嘉義縣新港鄉殯葬設施管理自治條例</w:t>
      </w:r>
      <w:r w:rsidR="00B169C9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（以下簡稱自治條例）</w:t>
      </w:r>
      <w:r w:rsidR="00B169C9" w:rsidRPr="00DD7260">
        <w:rPr>
          <w:rFonts w:ascii="標楷體" w:eastAsia="標楷體" w:hAnsi="標楷體" w:hint="eastAsia"/>
          <w:b/>
          <w:bCs/>
          <w:sz w:val="32"/>
          <w:szCs w:val="32"/>
        </w:rPr>
        <w:t>第十一條、第十二條、第十三條、第二十條、第二十二條規定訂定之</w:t>
      </w:r>
      <w:r w:rsidR="00373D5B" w:rsidRPr="00DD7260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E211BE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全文</w:t>
      </w:r>
      <w:r w:rsidR="00B169C9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九</w:t>
      </w:r>
      <w:r w:rsidR="00E211BE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條。本</w:t>
      </w:r>
      <w:r w:rsidR="00A722B6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收費標準</w:t>
      </w:r>
      <w:r w:rsidR="00E211BE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規範</w:t>
      </w:r>
      <w:r w:rsidR="00A722B6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使用本鄉各項殯葬設施，97年12月19日制定，配合時代變遷並</w:t>
      </w:r>
      <w:r w:rsidR="00FD7B67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優惠</w:t>
      </w:r>
      <w:r w:rsidR="00A722B6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本鄉鄉民使用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，分別七</w:t>
      </w:r>
      <w:r w:rsidR="00B437A8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次修訂</w:t>
      </w:r>
      <w:r w:rsidR="00FD7B67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。本收費性質係屬一次性收入</w:t>
      </w:r>
      <w:r w:rsidR="00DE2AD7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，</w:t>
      </w:r>
      <w:r w:rsidR="00BA7E50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繫屬</w:t>
      </w:r>
      <w:r w:rsidR="00DE2AD7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「規費法」</w:t>
      </w:r>
      <w:r w:rsidR="00BA7E50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之規費收入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。</w:t>
      </w:r>
      <w:r w:rsidR="00995EDA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依</w:t>
      </w:r>
      <w:r w:rsidR="00995EDA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據嘉義縣政府</w:t>
      </w:r>
      <w:r w:rsidR="00995EDA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107年6月1日</w:t>
      </w:r>
      <w:r w:rsidR="00995EDA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來函修</w:t>
      </w:r>
      <w:r w:rsidR="001F1EBC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正</w:t>
      </w:r>
      <w:r w:rsidR="00974DFB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條文第二條、第五條及第九條文字</w:t>
      </w:r>
      <w:r w:rsidR="00974DFB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，</w:t>
      </w:r>
      <w:r w:rsidR="00995EDA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以符</w:t>
      </w:r>
      <w:r w:rsidR="00995EDA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合法制用語</w:t>
      </w:r>
      <w:r w:rsidR="00995EDA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。</w:t>
      </w:r>
      <w:r w:rsidR="00DE2AD7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為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對</w:t>
      </w:r>
      <w:r w:rsidR="00734792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民眾使用蓮花燈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收</w:t>
      </w:r>
      <w:r w:rsidR="00734792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費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有</w:t>
      </w:r>
      <w:r w:rsidR="00734792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所依據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，增</w:t>
      </w:r>
      <w:r w:rsidR="00B437A8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訂</w:t>
      </w:r>
      <w:r w:rsidR="00734792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本</w:t>
      </w:r>
      <w:r w:rsidR="00734792" w:rsidRPr="00DD7260">
        <w:rPr>
          <w:rFonts w:ascii="標楷體" w:eastAsia="標楷體" w:hAnsi="標楷體"/>
          <w:b/>
          <w:bCs/>
          <w:snapToGrid w:val="0"/>
          <w:sz w:val="32"/>
          <w:szCs w:val="32"/>
        </w:rPr>
        <w:t>收費標準第五條之一</w:t>
      </w:r>
      <w:r w:rsidR="00BA7E50" w:rsidRPr="00DD7260">
        <w:rPr>
          <w:rFonts w:ascii="標楷體" w:eastAsia="標楷體" w:hAnsi="標楷體" w:hint="eastAsia"/>
          <w:b/>
          <w:bCs/>
          <w:snapToGrid w:val="0"/>
          <w:sz w:val="32"/>
          <w:szCs w:val="32"/>
        </w:rPr>
        <w:t>。</w:t>
      </w:r>
    </w:p>
    <w:sectPr w:rsidR="000C082C" w:rsidRPr="00DD7260" w:rsidSect="00DD7260">
      <w:footerReference w:type="even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9B2B" w14:textId="77777777" w:rsidR="001941DF" w:rsidRDefault="001941DF">
      <w:r>
        <w:separator/>
      </w:r>
    </w:p>
  </w:endnote>
  <w:endnote w:type="continuationSeparator" w:id="0">
    <w:p w14:paraId="362F06A9" w14:textId="77777777" w:rsidR="001941DF" w:rsidRDefault="001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 of 9 Barcode">
    <w:charset w:val="00"/>
    <w:family w:val="decorative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DC15" w14:textId="77777777" w:rsidR="00D34200" w:rsidRDefault="00D34200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7684EE2A" w14:textId="77777777" w:rsidR="00D34200" w:rsidRDefault="00D342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03166" w14:textId="77777777" w:rsidR="001941DF" w:rsidRDefault="001941DF">
      <w:r>
        <w:separator/>
      </w:r>
    </w:p>
  </w:footnote>
  <w:footnote w:type="continuationSeparator" w:id="0">
    <w:p w14:paraId="0496DAE9" w14:textId="77777777" w:rsidR="001941DF" w:rsidRDefault="0019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D0E"/>
    <w:multiLevelType w:val="multilevel"/>
    <w:tmpl w:val="6CE06956"/>
    <w:lvl w:ilvl="0">
      <w:start w:val="1"/>
      <w:numFmt w:val="taiwaneseCountingThousand"/>
      <w:suff w:val="nothing"/>
      <w:lvlText w:val="%1、"/>
      <w:lvlJc w:val="left"/>
      <w:pPr>
        <w:ind w:left="652" w:hanging="652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548" w:hanging="981"/>
      </w:pPr>
      <w:rPr>
        <w:rFonts w:eastAsia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797" w:hanging="663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38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631" w:hanging="64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237" w:hanging="969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92" w:hanging="65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116" w:hanging="998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331" w:hanging="646"/>
      </w:pPr>
      <w:rPr>
        <w:rFonts w:hint="eastAsia"/>
      </w:rPr>
    </w:lvl>
  </w:abstractNum>
  <w:abstractNum w:abstractNumId="1" w15:restartNumberingAfterBreak="0">
    <w:nsid w:val="31E55E02"/>
    <w:multiLevelType w:val="multilevel"/>
    <w:tmpl w:val="6CE06956"/>
    <w:lvl w:ilvl="0">
      <w:start w:val="1"/>
      <w:numFmt w:val="taiwaneseCountingThousand"/>
      <w:suff w:val="nothing"/>
      <w:lvlText w:val="%1、"/>
      <w:lvlJc w:val="left"/>
      <w:pPr>
        <w:ind w:left="992" w:hanging="652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548" w:hanging="981"/>
      </w:pPr>
      <w:rPr>
        <w:rFonts w:eastAsia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797" w:hanging="663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38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631" w:hanging="64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237" w:hanging="969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92" w:hanging="65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116" w:hanging="998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331" w:hanging="646"/>
      </w:pPr>
      <w:rPr>
        <w:rFonts w:hint="eastAsia"/>
      </w:rPr>
    </w:lvl>
  </w:abstractNum>
  <w:abstractNum w:abstractNumId="2" w15:restartNumberingAfterBreak="0">
    <w:nsid w:val="390E1247"/>
    <w:multiLevelType w:val="hybridMultilevel"/>
    <w:tmpl w:val="0E7C09EE"/>
    <w:lvl w:ilvl="0" w:tplc="B12EA38E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9E122A"/>
    <w:multiLevelType w:val="hybridMultilevel"/>
    <w:tmpl w:val="81AAD87A"/>
    <w:lvl w:ilvl="0" w:tplc="034CEC94">
      <w:start w:val="1"/>
      <w:numFmt w:val="taiwaneseCountingThousand"/>
      <w:lvlText w:val="%1、"/>
      <w:lvlJc w:val="left"/>
      <w:pPr>
        <w:ind w:left="450" w:hanging="45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A8"/>
    <w:rsid w:val="00000938"/>
    <w:rsid w:val="00003896"/>
    <w:rsid w:val="0002403F"/>
    <w:rsid w:val="000501B3"/>
    <w:rsid w:val="00055164"/>
    <w:rsid w:val="00057DAD"/>
    <w:rsid w:val="0007701A"/>
    <w:rsid w:val="00095DA5"/>
    <w:rsid w:val="000A5067"/>
    <w:rsid w:val="000C082C"/>
    <w:rsid w:val="000C14EC"/>
    <w:rsid w:val="000D4D3F"/>
    <w:rsid w:val="000D546B"/>
    <w:rsid w:val="000F282D"/>
    <w:rsid w:val="00121223"/>
    <w:rsid w:val="00130068"/>
    <w:rsid w:val="001941DF"/>
    <w:rsid w:val="001A1F0A"/>
    <w:rsid w:val="001B4781"/>
    <w:rsid w:val="001B7F56"/>
    <w:rsid w:val="001F1EBC"/>
    <w:rsid w:val="001F4562"/>
    <w:rsid w:val="0020340D"/>
    <w:rsid w:val="0021407A"/>
    <w:rsid w:val="0021782A"/>
    <w:rsid w:val="00283214"/>
    <w:rsid w:val="00311E91"/>
    <w:rsid w:val="00335F06"/>
    <w:rsid w:val="00343457"/>
    <w:rsid w:val="00344537"/>
    <w:rsid w:val="00346C37"/>
    <w:rsid w:val="00351A03"/>
    <w:rsid w:val="00356F55"/>
    <w:rsid w:val="003577C1"/>
    <w:rsid w:val="00373D5B"/>
    <w:rsid w:val="00397FA4"/>
    <w:rsid w:val="003A760A"/>
    <w:rsid w:val="003C54CA"/>
    <w:rsid w:val="003E416C"/>
    <w:rsid w:val="004000E8"/>
    <w:rsid w:val="0040414A"/>
    <w:rsid w:val="00410BA2"/>
    <w:rsid w:val="004241CF"/>
    <w:rsid w:val="00463854"/>
    <w:rsid w:val="004A07B1"/>
    <w:rsid w:val="004C6DD7"/>
    <w:rsid w:val="004D5B59"/>
    <w:rsid w:val="00514EA1"/>
    <w:rsid w:val="00516A80"/>
    <w:rsid w:val="00522C0E"/>
    <w:rsid w:val="00523D19"/>
    <w:rsid w:val="00543CBB"/>
    <w:rsid w:val="005552A6"/>
    <w:rsid w:val="005838FE"/>
    <w:rsid w:val="00591B2B"/>
    <w:rsid w:val="00592B49"/>
    <w:rsid w:val="00593C7F"/>
    <w:rsid w:val="005A60A7"/>
    <w:rsid w:val="005B4480"/>
    <w:rsid w:val="005C0417"/>
    <w:rsid w:val="005D2955"/>
    <w:rsid w:val="005E0A50"/>
    <w:rsid w:val="00600284"/>
    <w:rsid w:val="006033FE"/>
    <w:rsid w:val="00607075"/>
    <w:rsid w:val="006359F4"/>
    <w:rsid w:val="00635E42"/>
    <w:rsid w:val="006629A7"/>
    <w:rsid w:val="006A7F22"/>
    <w:rsid w:val="006B4090"/>
    <w:rsid w:val="006B4C39"/>
    <w:rsid w:val="006C1FB6"/>
    <w:rsid w:val="006C4AF0"/>
    <w:rsid w:val="006E5697"/>
    <w:rsid w:val="006F0757"/>
    <w:rsid w:val="00734792"/>
    <w:rsid w:val="00740678"/>
    <w:rsid w:val="00761C3E"/>
    <w:rsid w:val="00792A75"/>
    <w:rsid w:val="007C3972"/>
    <w:rsid w:val="007D59AE"/>
    <w:rsid w:val="00805EF0"/>
    <w:rsid w:val="00817CFB"/>
    <w:rsid w:val="008269D9"/>
    <w:rsid w:val="00894C26"/>
    <w:rsid w:val="008D646C"/>
    <w:rsid w:val="00916BF1"/>
    <w:rsid w:val="00924117"/>
    <w:rsid w:val="00927637"/>
    <w:rsid w:val="009539A8"/>
    <w:rsid w:val="00974DFB"/>
    <w:rsid w:val="00995EDA"/>
    <w:rsid w:val="009A57FB"/>
    <w:rsid w:val="009E0602"/>
    <w:rsid w:val="009F031C"/>
    <w:rsid w:val="00A61471"/>
    <w:rsid w:val="00A6401E"/>
    <w:rsid w:val="00A722B6"/>
    <w:rsid w:val="00A84103"/>
    <w:rsid w:val="00A876C3"/>
    <w:rsid w:val="00A87A8F"/>
    <w:rsid w:val="00AE0A3B"/>
    <w:rsid w:val="00AF2AB8"/>
    <w:rsid w:val="00B169C9"/>
    <w:rsid w:val="00B23631"/>
    <w:rsid w:val="00B437A8"/>
    <w:rsid w:val="00B54779"/>
    <w:rsid w:val="00B638D2"/>
    <w:rsid w:val="00B67298"/>
    <w:rsid w:val="00B871AE"/>
    <w:rsid w:val="00BA7E50"/>
    <w:rsid w:val="00BB0576"/>
    <w:rsid w:val="00BC45B1"/>
    <w:rsid w:val="00BD1F56"/>
    <w:rsid w:val="00BD2595"/>
    <w:rsid w:val="00BE684F"/>
    <w:rsid w:val="00C35224"/>
    <w:rsid w:val="00C56BAB"/>
    <w:rsid w:val="00C77FFE"/>
    <w:rsid w:val="00C82DDC"/>
    <w:rsid w:val="00C852C2"/>
    <w:rsid w:val="00C931F4"/>
    <w:rsid w:val="00CC45E0"/>
    <w:rsid w:val="00CE5F6E"/>
    <w:rsid w:val="00CE6B1D"/>
    <w:rsid w:val="00D140D8"/>
    <w:rsid w:val="00D153D3"/>
    <w:rsid w:val="00D26B74"/>
    <w:rsid w:val="00D332F7"/>
    <w:rsid w:val="00D34200"/>
    <w:rsid w:val="00D46F58"/>
    <w:rsid w:val="00D666AE"/>
    <w:rsid w:val="00D81D8B"/>
    <w:rsid w:val="00DB3B14"/>
    <w:rsid w:val="00DB6C18"/>
    <w:rsid w:val="00DD3384"/>
    <w:rsid w:val="00DD7260"/>
    <w:rsid w:val="00DE2AD7"/>
    <w:rsid w:val="00DE5C67"/>
    <w:rsid w:val="00DF41FE"/>
    <w:rsid w:val="00DF5F7C"/>
    <w:rsid w:val="00DF7854"/>
    <w:rsid w:val="00E01DA7"/>
    <w:rsid w:val="00E03055"/>
    <w:rsid w:val="00E10561"/>
    <w:rsid w:val="00E211BE"/>
    <w:rsid w:val="00E3219A"/>
    <w:rsid w:val="00E36F51"/>
    <w:rsid w:val="00E4731F"/>
    <w:rsid w:val="00E55045"/>
    <w:rsid w:val="00E655B2"/>
    <w:rsid w:val="00E67F45"/>
    <w:rsid w:val="00E727EA"/>
    <w:rsid w:val="00E73933"/>
    <w:rsid w:val="00EA248E"/>
    <w:rsid w:val="00EB3AB2"/>
    <w:rsid w:val="00EC1086"/>
    <w:rsid w:val="00EC29C2"/>
    <w:rsid w:val="00ED50EE"/>
    <w:rsid w:val="00EF6BD9"/>
    <w:rsid w:val="00F040FA"/>
    <w:rsid w:val="00F3362A"/>
    <w:rsid w:val="00F5037A"/>
    <w:rsid w:val="00F57867"/>
    <w:rsid w:val="00F70423"/>
    <w:rsid w:val="00F74692"/>
    <w:rsid w:val="00F81835"/>
    <w:rsid w:val="00FC2D38"/>
    <w:rsid w:val="00FC3A5E"/>
    <w:rsid w:val="00FC684F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0F0BC"/>
  <w15:chartTrackingRefBased/>
  <w15:docId w15:val="{4AF817D6-30E6-42CC-ACF9-DC16C6B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"/>
    <w:basedOn w:val="a0"/>
    <w:pPr>
      <w:snapToGrid w:val="0"/>
    </w:pPr>
    <w:rPr>
      <w:rFonts w:eastAsia="標楷體"/>
      <w:sz w:val="36"/>
      <w:szCs w:val="20"/>
    </w:rPr>
  </w:style>
  <w:style w:type="paragraph" w:customStyle="1" w:styleId="-1">
    <w:name w:val="內文-1"/>
    <w:basedOn w:val="a0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a5">
    <w:name w:val="一、"/>
    <w:basedOn w:val="a0"/>
    <w:pPr>
      <w:spacing w:beforeLines="50" w:before="180" w:afterLines="50" w:after="18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customStyle="1" w:styleId="a6">
    <w:name w:val="（一）"/>
    <w:basedOn w:val="a5"/>
    <w:pPr>
      <w:ind w:left="1418" w:hanging="851"/>
    </w:pPr>
  </w:style>
  <w:style w:type="paragraph" w:customStyle="1" w:styleId="-10">
    <w:name w:val="標題-1"/>
    <w:basedOn w:val="a0"/>
    <w:pPr>
      <w:spacing w:after="120" w:line="0" w:lineRule="atLeast"/>
    </w:pPr>
    <w:rPr>
      <w:rFonts w:ascii="Arial" w:eastAsia="標楷體" w:hAnsi="Arial"/>
      <w:sz w:val="40"/>
    </w:rPr>
  </w:style>
  <w:style w:type="paragraph" w:styleId="3">
    <w:name w:val="Body Text Indent 3"/>
    <w:basedOn w:val="a0"/>
    <w:pPr>
      <w:spacing w:line="480" w:lineRule="exact"/>
      <w:ind w:left="560" w:hangingChars="200" w:hanging="560"/>
      <w:jc w:val="both"/>
    </w:pPr>
    <w:rPr>
      <w:rFonts w:eastAsia="標楷體"/>
      <w:sz w:val="28"/>
    </w:rPr>
  </w:style>
  <w:style w:type="paragraph" w:customStyle="1" w:styleId="a">
    <w:name w:val="公文(後續段落_段落)"/>
    <w:basedOn w:val="a0"/>
    <w:pPr>
      <w:numPr>
        <w:ilvl w:val="8"/>
        <w:numId w:val="1"/>
      </w:numPr>
    </w:pPr>
  </w:style>
  <w:style w:type="paragraph" w:styleId="a7">
    <w:name w:val="Body Text"/>
    <w:basedOn w:val="a0"/>
    <w:pPr>
      <w:jc w:val="both"/>
    </w:pPr>
    <w:rPr>
      <w:rFonts w:ascii="標楷體" w:eastAsia="標楷體" w:hAnsi="3 of 9 Barcode"/>
      <w:sz w:val="28"/>
    </w:rPr>
  </w:style>
  <w:style w:type="paragraph" w:styleId="2">
    <w:name w:val="Body Text Indent 2"/>
    <w:basedOn w:val="a0"/>
    <w:pPr>
      <w:spacing w:line="440" w:lineRule="exact"/>
      <w:ind w:leftChars="117" w:left="805" w:hangingChars="187" w:hanging="524"/>
      <w:jc w:val="both"/>
    </w:pPr>
    <w:rPr>
      <w:rFonts w:ascii="標楷體" w:eastAsia="標楷體" w:hAnsi="3 of 9 Barcode"/>
      <w:sz w:val="28"/>
    </w:rPr>
  </w:style>
  <w:style w:type="paragraph" w:styleId="a8">
    <w:name w:val="Plain Text"/>
    <w:basedOn w:val="a0"/>
    <w:rPr>
      <w:rFonts w:ascii="細明體" w:eastAsia="細明體" w:hAnsi="Courier New" w:hint="eastAsia"/>
    </w:rPr>
  </w:style>
  <w:style w:type="paragraph" w:styleId="20">
    <w:name w:val="Body Text 2"/>
    <w:basedOn w:val="a0"/>
    <w:rPr>
      <w:rFonts w:eastAsia="標楷體"/>
      <w:sz w:val="2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a9">
    <w:name w:val="Body Text Indent"/>
    <w:basedOn w:val="a0"/>
    <w:pPr>
      <w:ind w:leftChars="117" w:left="1121" w:hangingChars="300" w:hanging="840"/>
      <w:jc w:val="both"/>
    </w:pPr>
    <w:rPr>
      <w:rFonts w:eastAsia="標楷體"/>
      <w:sz w:val="28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lock Text"/>
    <w:basedOn w:val="a0"/>
    <w:pPr>
      <w:framePr w:hSpace="180" w:wrap="around" w:vAnchor="page" w:hAnchor="margin" w:x="118" w:y="1212"/>
      <w:spacing w:line="300" w:lineRule="exact"/>
      <w:ind w:leftChars="20" w:left="608" w:right="113" w:hangingChars="200" w:hanging="560"/>
      <w:jc w:val="both"/>
    </w:pPr>
    <w:rPr>
      <w:rFonts w:eastAsia="標楷體"/>
      <w:sz w:val="28"/>
    </w:rPr>
  </w:style>
  <w:style w:type="paragraph" w:customStyle="1" w:styleId="ac">
    <w:name w:val="擬辦"/>
    <w:basedOn w:val="2"/>
    <w:pPr>
      <w:adjustRightInd w:val="0"/>
      <w:spacing w:line="560" w:lineRule="atLeast"/>
      <w:ind w:leftChars="0" w:left="1077" w:firstLineChars="0" w:hanging="1077"/>
      <w:textAlignment w:val="baseline"/>
    </w:pPr>
    <w:rPr>
      <w:rFonts w:ascii="Times New Roman" w:hAnsi="Times New Roman"/>
      <w:spacing w:val="20"/>
      <w:kern w:val="0"/>
      <w:sz w:val="32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0">
    <w:name w:val="Body Text 3"/>
    <w:basedOn w:val="a0"/>
    <w:pPr>
      <w:spacing w:line="440" w:lineRule="exact"/>
      <w:ind w:right="113"/>
      <w:jc w:val="both"/>
    </w:pPr>
    <w:rPr>
      <w:rFonts w:eastAsia="標楷體"/>
      <w:sz w:val="28"/>
    </w:rPr>
  </w:style>
  <w:style w:type="paragraph" w:styleId="ad">
    <w:name w:val="header"/>
    <w:basedOn w:val="a0"/>
    <w:link w:val="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1"/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1">
    <w:name w:val="清單段落1"/>
    <w:basedOn w:val="a0"/>
    <w:rsid w:val="009539A8"/>
    <w:pPr>
      <w:ind w:leftChars="200" w:left="480"/>
    </w:pPr>
    <w:rPr>
      <w:rFonts w:eastAsia="標楷體"/>
      <w:sz w:val="56"/>
    </w:rPr>
  </w:style>
  <w:style w:type="character" w:customStyle="1" w:styleId="ae">
    <w:name w:val="頁首 字元"/>
    <w:link w:val="ad"/>
    <w:rsid w:val="0007701A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C818-7885-47E7-9B6D-D4D1F44C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行政院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各機關報院擬提行政院會議案件之附件格式</dc:title>
  <dc:subject/>
  <dc:creator>MIS</dc:creator>
  <cp:keywords/>
  <cp:lastModifiedBy>USER</cp:lastModifiedBy>
  <cp:revision>2</cp:revision>
  <cp:lastPrinted>2016-08-01T22:50:00Z</cp:lastPrinted>
  <dcterms:created xsi:type="dcterms:W3CDTF">2024-02-07T00:56:00Z</dcterms:created>
  <dcterms:modified xsi:type="dcterms:W3CDTF">2024-02-07T00:56:00Z</dcterms:modified>
</cp:coreProperties>
</file>